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5C5" w:rsidRPr="005965C5" w:rsidRDefault="005965C5" w:rsidP="005965C5">
      <w:pPr>
        <w:rPr>
          <w:b/>
          <w:bCs/>
        </w:rPr>
      </w:pPr>
      <w:r>
        <w:rPr>
          <w:b/>
          <w:bCs/>
        </w:rPr>
        <w:t>Comparative Study: IB Marking Criteria S</w:t>
      </w:r>
      <w:bookmarkStart w:id="0" w:name="_GoBack"/>
      <w:bookmarkEnd w:id="0"/>
      <w:r w:rsidRPr="005965C5">
        <w:rPr>
          <w:b/>
          <w:bCs/>
        </w:rPr>
        <w:t>ummary</w:t>
      </w:r>
    </w:p>
    <w:tbl>
      <w:tblPr>
        <w:tblW w:w="10908" w:type="dxa"/>
        <w:tblBorders>
          <w:top w:val="single" w:sz="8" w:space="0" w:color="D5D5D5"/>
          <w:left w:val="nil"/>
          <w:right w:val="single" w:sz="8" w:space="0" w:color="D5D5D5"/>
        </w:tblBorders>
        <w:tblLayout w:type="fixed"/>
        <w:tblLook w:val="0000" w:firstRow="0" w:lastRow="0" w:firstColumn="0" w:lastColumn="0" w:noHBand="0" w:noVBand="0"/>
      </w:tblPr>
      <w:tblGrid>
        <w:gridCol w:w="468"/>
        <w:gridCol w:w="1980"/>
        <w:gridCol w:w="1080"/>
        <w:gridCol w:w="7380"/>
      </w:tblGrid>
      <w:tr w:rsidR="005965C5" w:rsidRPr="005965C5" w:rsidTr="00D279EE">
        <w:tblPrEx>
          <w:tblCellMar>
            <w:top w:w="0" w:type="dxa"/>
            <w:bottom w:w="0" w:type="dxa"/>
          </w:tblCellMar>
        </w:tblPrEx>
        <w:tc>
          <w:tcPr>
            <w:tcW w:w="2448" w:type="dxa"/>
            <w:gridSpan w:val="2"/>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5965C5" w:rsidRPr="005965C5" w:rsidRDefault="005965C5" w:rsidP="005965C5">
            <w:pPr>
              <w:rPr>
                <w:b/>
                <w:bCs/>
              </w:rPr>
            </w:pPr>
            <w:r w:rsidRPr="005965C5">
              <w:rPr>
                <w:b/>
                <w:bCs/>
              </w:rPr>
              <w:t>Marking criteria</w:t>
            </w:r>
          </w:p>
        </w:tc>
        <w:tc>
          <w:tcPr>
            <w:tcW w:w="108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5965C5" w:rsidRPr="005965C5" w:rsidRDefault="005965C5" w:rsidP="005965C5">
            <w:pPr>
              <w:rPr>
                <w:b/>
                <w:bCs/>
              </w:rPr>
            </w:pPr>
            <w:r w:rsidRPr="005965C5">
              <w:rPr>
                <w:b/>
                <w:bCs/>
              </w:rPr>
              <w:t>Marks</w:t>
            </w:r>
          </w:p>
        </w:tc>
        <w:tc>
          <w:tcPr>
            <w:tcW w:w="7380" w:type="dxa"/>
            <w:tcBorders>
              <w:top w:val="single" w:sz="8" w:space="0" w:color="757575"/>
              <w:left w:val="single" w:sz="8" w:space="0" w:color="757575"/>
              <w:bottom w:val="single" w:sz="8" w:space="0" w:color="757575"/>
              <w:right w:val="single" w:sz="8" w:space="0" w:color="757575"/>
            </w:tcBorders>
            <w:shd w:val="clear" w:color="auto" w:fill="3AC0FF"/>
            <w:tcMar>
              <w:top w:w="20" w:type="nil"/>
              <w:left w:w="20" w:type="nil"/>
              <w:bottom w:w="20" w:type="nil"/>
              <w:right w:w="280" w:type="nil"/>
            </w:tcMar>
          </w:tcPr>
          <w:p w:rsidR="005965C5" w:rsidRPr="005965C5" w:rsidRDefault="005965C5" w:rsidP="005965C5">
            <w:pPr>
              <w:rPr>
                <w:b/>
                <w:bCs/>
              </w:rPr>
            </w:pPr>
            <w:r w:rsidRPr="005965C5">
              <w:rPr>
                <w:b/>
                <w:bCs/>
              </w:rPr>
              <w:t>What the examiner is looking for:</w:t>
            </w:r>
          </w:p>
        </w:tc>
      </w:tr>
      <w:tr w:rsidR="005965C5" w:rsidRPr="005965C5" w:rsidTr="00D279EE">
        <w:tblPrEx>
          <w:tblBorders>
            <w:top w:val="none" w:sz="0" w:space="0" w:color="auto"/>
          </w:tblBorders>
          <w:tblCellMar>
            <w:top w:w="0" w:type="dxa"/>
            <w:bottom w:w="0" w:type="dxa"/>
          </w:tblCellMar>
        </w:tblPrEx>
        <w:tc>
          <w:tcPr>
            <w:tcW w:w="4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rPr>
                <w:b/>
                <w:bCs/>
              </w:rPr>
              <w:t>A</w:t>
            </w:r>
          </w:p>
        </w:tc>
        <w:tc>
          <w:tcPr>
            <w:tcW w:w="19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rPr>
                <w:b/>
                <w:bCs/>
              </w:rPr>
              <w:t>Analysis of formal qualities</w:t>
            </w:r>
          </w:p>
        </w:tc>
        <w:tc>
          <w:tcPr>
            <w:tcW w:w="10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t>6</w:t>
            </w:r>
          </w:p>
        </w:tc>
        <w:tc>
          <w:tcPr>
            <w:tcW w:w="73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pPr>
              <w:numPr>
                <w:ilvl w:val="0"/>
                <w:numId w:val="1"/>
              </w:numPr>
            </w:pPr>
            <w:proofErr w:type="gramStart"/>
            <w:r w:rsidRPr="005965C5">
              <w:t>an</w:t>
            </w:r>
            <w:proofErr w:type="gramEnd"/>
            <w:r w:rsidRPr="005965C5">
              <w:t xml:space="preserve"> effective identification and analysis of the formal qualities of the selected artworks, objects and artifacts.</w:t>
            </w:r>
          </w:p>
          <w:p w:rsidR="005965C5" w:rsidRPr="005965C5" w:rsidRDefault="005965C5" w:rsidP="005965C5">
            <w:r w:rsidRPr="005965C5">
              <w:t>At the highest level of achievement, the work identifies and analyses the formal qualities of the selected pieces from at least two cultural origins and the analysis of these formal qualities is consistently informed by reliable sources and effective.</w:t>
            </w:r>
          </w:p>
        </w:tc>
      </w:tr>
      <w:tr w:rsidR="005965C5" w:rsidRPr="005965C5" w:rsidTr="00D279EE">
        <w:tblPrEx>
          <w:tblBorders>
            <w:top w:val="none" w:sz="0" w:space="0" w:color="auto"/>
          </w:tblBorders>
          <w:tblCellMar>
            <w:top w:w="0" w:type="dxa"/>
            <w:bottom w:w="0" w:type="dxa"/>
          </w:tblCellMar>
        </w:tblPrEx>
        <w:tc>
          <w:tcPr>
            <w:tcW w:w="4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rPr>
                <w:b/>
                <w:bCs/>
              </w:rPr>
              <w:t>B</w:t>
            </w:r>
          </w:p>
        </w:tc>
        <w:tc>
          <w:tcPr>
            <w:tcW w:w="19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rPr>
                <w:b/>
                <w:bCs/>
              </w:rPr>
              <w:t>Interpretation of function and purpose</w:t>
            </w:r>
          </w:p>
        </w:tc>
        <w:tc>
          <w:tcPr>
            <w:tcW w:w="10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t>6</w:t>
            </w:r>
          </w:p>
        </w:tc>
        <w:tc>
          <w:tcPr>
            <w:tcW w:w="73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pPr>
              <w:numPr>
                <w:ilvl w:val="0"/>
                <w:numId w:val="2"/>
              </w:numPr>
            </w:pPr>
            <w:proofErr w:type="gramStart"/>
            <w:r w:rsidRPr="005965C5">
              <w:t>an</w:t>
            </w:r>
            <w:proofErr w:type="gramEnd"/>
            <w:r w:rsidRPr="005965C5">
              <w:t xml:space="preserve"> informed and appropriate interpretation of the function and purpose of the selected artworks, objects and artifacts within the cultural context in which they were created.</w:t>
            </w:r>
          </w:p>
          <w:p w:rsidR="005965C5" w:rsidRPr="005965C5" w:rsidRDefault="005965C5" w:rsidP="005965C5">
            <w:r w:rsidRPr="005965C5">
              <w:t>At the highest level of achievement, the work demonstrates a consistently informed by reliable sources and appropriate interpretation of the function and purpose of the selected pieces within the cultural context in which they were created.</w:t>
            </w:r>
          </w:p>
        </w:tc>
      </w:tr>
      <w:tr w:rsidR="005965C5" w:rsidRPr="005965C5" w:rsidTr="00D279EE">
        <w:tblPrEx>
          <w:tblBorders>
            <w:top w:val="none" w:sz="0" w:space="0" w:color="auto"/>
          </w:tblBorders>
          <w:tblCellMar>
            <w:top w:w="0" w:type="dxa"/>
            <w:bottom w:w="0" w:type="dxa"/>
          </w:tblCellMar>
        </w:tblPrEx>
        <w:tc>
          <w:tcPr>
            <w:tcW w:w="4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rPr>
                <w:b/>
                <w:bCs/>
              </w:rPr>
              <w:t>C</w:t>
            </w:r>
          </w:p>
        </w:tc>
        <w:tc>
          <w:tcPr>
            <w:tcW w:w="19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rPr>
                <w:b/>
                <w:bCs/>
              </w:rPr>
              <w:t>Evaluation of cultural significance</w:t>
            </w:r>
          </w:p>
        </w:tc>
        <w:tc>
          <w:tcPr>
            <w:tcW w:w="10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t>6</w:t>
            </w:r>
          </w:p>
        </w:tc>
        <w:tc>
          <w:tcPr>
            <w:tcW w:w="73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pPr>
              <w:numPr>
                <w:ilvl w:val="0"/>
                <w:numId w:val="3"/>
              </w:numPr>
            </w:pPr>
            <w:proofErr w:type="gramStart"/>
            <w:r w:rsidRPr="005965C5">
              <w:t>an</w:t>
            </w:r>
            <w:proofErr w:type="gramEnd"/>
            <w:r w:rsidRPr="005965C5">
              <w:t xml:space="preserve"> informed understanding of the cultural significance of the selected artworks, objects and artifacts within the specific context in which they were created.</w:t>
            </w:r>
          </w:p>
          <w:p w:rsidR="005965C5" w:rsidRPr="005965C5" w:rsidRDefault="005965C5" w:rsidP="005965C5">
            <w:r w:rsidRPr="005965C5">
              <w:t>At the highest level of achievement, the work demonstrates consistently informed and appropriate evaluation of the material, conceptual and cultural significance of the selected pieces within the specific context in which they were created.</w:t>
            </w:r>
          </w:p>
        </w:tc>
      </w:tr>
      <w:tr w:rsidR="005965C5" w:rsidRPr="005965C5" w:rsidTr="00D279EE">
        <w:tblPrEx>
          <w:tblBorders>
            <w:top w:val="none" w:sz="0" w:space="0" w:color="auto"/>
          </w:tblBorders>
          <w:tblCellMar>
            <w:top w:w="0" w:type="dxa"/>
            <w:bottom w:w="0" w:type="dxa"/>
          </w:tblCellMar>
        </w:tblPrEx>
        <w:tc>
          <w:tcPr>
            <w:tcW w:w="4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rPr>
                <w:b/>
                <w:bCs/>
              </w:rPr>
              <w:t>D</w:t>
            </w:r>
          </w:p>
        </w:tc>
        <w:tc>
          <w:tcPr>
            <w:tcW w:w="19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rPr>
                <w:b/>
                <w:bCs/>
              </w:rPr>
              <w:t>Making comparisons and connections</w:t>
            </w:r>
          </w:p>
        </w:tc>
        <w:tc>
          <w:tcPr>
            <w:tcW w:w="10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t>6</w:t>
            </w:r>
          </w:p>
        </w:tc>
        <w:tc>
          <w:tcPr>
            <w:tcW w:w="73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pPr>
              <w:numPr>
                <w:ilvl w:val="0"/>
                <w:numId w:val="4"/>
              </w:numPr>
            </w:pPr>
            <w:proofErr w:type="gramStart"/>
            <w:r w:rsidRPr="005965C5">
              <w:t>an</w:t>
            </w:r>
            <w:proofErr w:type="gramEnd"/>
            <w:r w:rsidRPr="005965C5">
              <w:t xml:space="preserve"> effective identification and critical analysis of the connections, similarities and differences between the selected artworks, objects and artifacts.</w:t>
            </w:r>
          </w:p>
          <w:p w:rsidR="005965C5" w:rsidRPr="005965C5" w:rsidRDefault="005965C5" w:rsidP="005965C5">
            <w:r w:rsidRPr="005965C5">
              <w:t>At the highest level of achievement, the work critically analyses the connections, similarities and differences between the selected pieces. These connections are logical and coherent, showing a thorough understanding of how the pieces compare.</w:t>
            </w:r>
          </w:p>
        </w:tc>
      </w:tr>
      <w:tr w:rsidR="005965C5" w:rsidRPr="005965C5" w:rsidTr="00D279EE">
        <w:tblPrEx>
          <w:tblBorders>
            <w:top w:val="none" w:sz="0" w:space="0" w:color="auto"/>
          </w:tblBorders>
          <w:tblCellMar>
            <w:top w:w="0" w:type="dxa"/>
            <w:bottom w:w="0" w:type="dxa"/>
          </w:tblCellMar>
        </w:tblPrEx>
        <w:tc>
          <w:tcPr>
            <w:tcW w:w="4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rPr>
                <w:b/>
                <w:bCs/>
              </w:rPr>
              <w:t>E</w:t>
            </w:r>
          </w:p>
        </w:tc>
        <w:tc>
          <w:tcPr>
            <w:tcW w:w="19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rPr>
                <w:b/>
                <w:bCs/>
              </w:rPr>
              <w:t>Presentation and subject-specific language</w:t>
            </w:r>
          </w:p>
        </w:tc>
        <w:tc>
          <w:tcPr>
            <w:tcW w:w="10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t>6</w:t>
            </w:r>
          </w:p>
        </w:tc>
        <w:tc>
          <w:tcPr>
            <w:tcW w:w="73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pPr>
              <w:numPr>
                <w:ilvl w:val="0"/>
                <w:numId w:val="5"/>
              </w:numPr>
            </w:pPr>
            <w:proofErr w:type="gramStart"/>
            <w:r w:rsidRPr="005965C5">
              <w:t>information</w:t>
            </w:r>
            <w:proofErr w:type="gramEnd"/>
            <w:r w:rsidRPr="005965C5">
              <w:t xml:space="preserve"> that is conveyed clearly and coherently in a visually appropriate and legible manner, supported by the consistent use of appropriate subject-specific language.</w:t>
            </w:r>
          </w:p>
          <w:p w:rsidR="005965C5" w:rsidRPr="005965C5" w:rsidRDefault="005965C5" w:rsidP="005965C5">
            <w:r w:rsidRPr="005965C5">
              <w:t xml:space="preserve">At the highest level of achievement, the work clearly and coherently conveys </w:t>
            </w:r>
            <w:proofErr w:type="gramStart"/>
            <w:r w:rsidRPr="005965C5">
              <w:t>information which</w:t>
            </w:r>
            <w:proofErr w:type="gramEnd"/>
            <w:r w:rsidRPr="005965C5">
              <w:t xml:space="preserve"> results in a visually appropriate, legible and engaging study. Subject-specific language is used accurately and appropriately throughout.</w:t>
            </w:r>
          </w:p>
        </w:tc>
      </w:tr>
      <w:tr w:rsidR="005965C5" w:rsidRPr="005965C5" w:rsidTr="00D279EE">
        <w:tblPrEx>
          <w:tblBorders>
            <w:top w:val="none" w:sz="0" w:space="0" w:color="auto"/>
            <w:bottom w:val="single" w:sz="8" w:space="0" w:color="D5D5D5"/>
          </w:tblBorders>
          <w:tblCellMar>
            <w:top w:w="0" w:type="dxa"/>
            <w:bottom w:w="0" w:type="dxa"/>
          </w:tblCellMar>
        </w:tblPrEx>
        <w:tc>
          <w:tcPr>
            <w:tcW w:w="468"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rPr>
                <w:b/>
                <w:bCs/>
              </w:rPr>
              <w:t>F</w:t>
            </w:r>
          </w:p>
        </w:tc>
        <w:tc>
          <w:tcPr>
            <w:tcW w:w="19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rPr>
                <w:b/>
                <w:bCs/>
              </w:rPr>
              <w:t>Making connections to own art-making practice (HL only)</w:t>
            </w:r>
          </w:p>
        </w:tc>
        <w:tc>
          <w:tcPr>
            <w:tcW w:w="10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r w:rsidRPr="005965C5">
              <w:t>12</w:t>
            </w:r>
          </w:p>
        </w:tc>
        <w:tc>
          <w:tcPr>
            <w:tcW w:w="7380" w:type="dxa"/>
            <w:tcBorders>
              <w:top w:val="single" w:sz="8" w:space="0" w:color="757575"/>
              <w:left w:val="single" w:sz="8" w:space="0" w:color="757575"/>
              <w:bottom w:val="single" w:sz="8" w:space="0" w:color="757575"/>
              <w:right w:val="single" w:sz="8" w:space="0" w:color="757575"/>
            </w:tcBorders>
            <w:tcMar>
              <w:top w:w="20" w:type="nil"/>
              <w:left w:w="20" w:type="nil"/>
              <w:bottom w:w="20" w:type="nil"/>
              <w:right w:w="20" w:type="nil"/>
            </w:tcMar>
          </w:tcPr>
          <w:p w:rsidR="005965C5" w:rsidRPr="005965C5" w:rsidRDefault="005965C5" w:rsidP="005965C5">
            <w:pPr>
              <w:numPr>
                <w:ilvl w:val="0"/>
                <w:numId w:val="6"/>
              </w:numPr>
            </w:pPr>
            <w:proofErr w:type="gramStart"/>
            <w:r w:rsidRPr="005965C5">
              <w:t>an</w:t>
            </w:r>
            <w:proofErr w:type="gramEnd"/>
            <w:r w:rsidRPr="005965C5">
              <w:t xml:space="preserve"> analysis and reflection on the outcomes of the comparative study investigation and on how this has influenced your own development as an artist, identifying connections between one or more of the selected works and your own art-making processes and practices.</w:t>
            </w:r>
          </w:p>
          <w:p w:rsidR="005965C5" w:rsidRPr="005965C5" w:rsidRDefault="005965C5" w:rsidP="005965C5">
            <w:r w:rsidRPr="005965C5">
              <w:t>At the highest level of achievement, the work analyses and reflects upon the outcomes of the investigation consistently and appropriately. You effectively consider your own development, making informed and meaningful connections to your own art-making practice.</w:t>
            </w:r>
          </w:p>
        </w:tc>
      </w:tr>
    </w:tbl>
    <w:p w:rsidR="0017491D" w:rsidRPr="005965C5" w:rsidRDefault="0017491D" w:rsidP="005965C5"/>
    <w:sectPr w:rsidR="0017491D" w:rsidRPr="005965C5" w:rsidSect="005965C5">
      <w:pgSz w:w="12240" w:h="15840"/>
      <w:pgMar w:top="1296" w:right="5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61"/>
    <w:rsid w:val="0017491D"/>
    <w:rsid w:val="005965C5"/>
    <w:rsid w:val="008A6161"/>
    <w:rsid w:val="00D27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9C2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1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2455</Characters>
  <Application>Microsoft Macintosh Word</Application>
  <DocSecurity>0</DocSecurity>
  <Lines>20</Lines>
  <Paragraphs>5</Paragraphs>
  <ScaleCrop>false</ScaleCrop>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Gillian</dc:creator>
  <cp:keywords/>
  <dc:description/>
  <cp:lastModifiedBy>Sara Gillian</cp:lastModifiedBy>
  <cp:revision>2</cp:revision>
  <dcterms:created xsi:type="dcterms:W3CDTF">2014-08-22T04:45:00Z</dcterms:created>
  <dcterms:modified xsi:type="dcterms:W3CDTF">2014-08-22T04:45:00Z</dcterms:modified>
</cp:coreProperties>
</file>